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Caesar’s English II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Lesson Three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Stem</w:t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Vita  (life)</w:t>
        <w:tab/>
        <w:tab/>
        <w:tab/>
        <w:t xml:space="preserve">vital, vitamin, revitalize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Vid (look)</w:t>
        <w:tab/>
        <w:tab/>
        <w:tab/>
        <w:t xml:space="preserve">video, evidence, provide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Pater (father)</w:t>
        <w:tab/>
        <w:tab/>
        <w:tab/>
        <w:t xml:space="preserve">paternal, patriarch, expatriate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Matri (mother)</w:t>
        <w:tab/>
        <w:tab/>
        <w:t xml:space="preserve"> </w:t>
        <w:tab/>
        <w:t xml:space="preserve">maternal, matriarch, matrimony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Pop (people)</w:t>
        <w:tab/>
        <w:tab/>
        <w:tab/>
        <w:t xml:space="preserve">popular, population, populous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Write the stems and their words, with the definitions and parts of speech, in Spelling Notebook.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Wednesday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Complete pg. 24 in the Caesar’s English book: Analogies, Antonyms, and Caesar’s Context. Please write out the sentences for Caesar’s Context.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Thursday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Write a sentence for each one of your words, showing its meaning and using it correctly. Study for the spelling test and Cumulative Review.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Stems from Caesar’s English 1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Un – (not)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 – (between)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Semi – (half)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 – (away)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Sym – (together)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